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02B42" w:rsidRDefault="00702B42" w:rsidP="00C658F0">
      <w:pPr>
        <w:spacing w:after="0" w:line="480" w:lineRule="auto"/>
        <w:ind w:firstLine="720"/>
        <w:contextualSpacing/>
        <w:jc w:val="center"/>
        <w:rPr>
          <w:rFonts w:ascii="Times New Roman" w:hAnsi="Times New Roman" w:cs="Times New Roman"/>
          <w:b/>
          <w:sz w:val="24"/>
          <w:szCs w:val="24"/>
        </w:rPr>
      </w:pPr>
    </w:p>
    <w:p w:rsidR="00702B42" w:rsidRPr="00702B42" w:rsidRDefault="00702B42" w:rsidP="008069F8">
      <w:pPr>
        <w:spacing w:after="0" w:line="480" w:lineRule="auto"/>
        <w:ind w:firstLine="720"/>
        <w:contextualSpacing/>
        <w:jc w:val="center"/>
        <w:rPr>
          <w:rFonts w:ascii="Times New Roman" w:hAnsi="Times New Roman" w:cs="Times New Roman"/>
          <w:b/>
          <w:sz w:val="24"/>
          <w:szCs w:val="24"/>
        </w:rPr>
      </w:pPr>
      <w:r w:rsidRPr="00702B42">
        <w:rPr>
          <w:rFonts w:ascii="Times New Roman" w:hAnsi="Times New Roman" w:cs="Times New Roman"/>
          <w:b/>
          <w:sz w:val="24"/>
          <w:szCs w:val="24"/>
        </w:rPr>
        <w:t>Manuel Galvez’s 1919 novel “Nacha Regules”</w:t>
      </w:r>
    </w:p>
    <w:p w:rsidR="00702B42" w:rsidRPr="00702B42" w:rsidRDefault="00702B42" w:rsidP="008069F8">
      <w:pPr>
        <w:spacing w:after="0" w:line="480" w:lineRule="auto"/>
        <w:ind w:firstLine="720"/>
        <w:contextualSpacing/>
        <w:jc w:val="center"/>
        <w:rPr>
          <w:rFonts w:ascii="Times New Roman" w:hAnsi="Times New Roman" w:cs="Times New Roman"/>
          <w:b/>
          <w:sz w:val="24"/>
          <w:szCs w:val="24"/>
        </w:rPr>
      </w:pPr>
    </w:p>
    <w:p w:rsidR="00702B42" w:rsidRDefault="00702B42" w:rsidP="008069F8">
      <w:pPr>
        <w:spacing w:after="0" w:line="480" w:lineRule="auto"/>
        <w:ind w:firstLine="720"/>
        <w:contextualSpacing/>
        <w:jc w:val="center"/>
        <w:rPr>
          <w:rFonts w:ascii="Times New Roman" w:hAnsi="Times New Roman" w:cs="Times New Roman"/>
          <w:b/>
          <w:sz w:val="24"/>
          <w:szCs w:val="24"/>
        </w:rPr>
      </w:pPr>
    </w:p>
    <w:p w:rsidR="00280FFE" w:rsidRDefault="00280FFE" w:rsidP="008069F8">
      <w:pPr>
        <w:spacing w:after="0" w:line="480" w:lineRule="auto"/>
        <w:ind w:firstLine="720"/>
        <w:contextualSpacing/>
        <w:jc w:val="center"/>
        <w:rPr>
          <w:rFonts w:ascii="Times New Roman" w:hAnsi="Times New Roman" w:cs="Times New Roman"/>
          <w:b/>
          <w:sz w:val="24"/>
          <w:szCs w:val="24"/>
        </w:rPr>
      </w:pPr>
    </w:p>
    <w:p w:rsidR="00702B42" w:rsidRDefault="00702B42" w:rsidP="008069F8">
      <w:pPr>
        <w:spacing w:after="0" w:line="480" w:lineRule="auto"/>
        <w:contextualSpacing/>
        <w:jc w:val="center"/>
        <w:rPr>
          <w:rFonts w:ascii="Times New Roman" w:hAnsi="Times New Roman" w:cs="Times New Roman"/>
          <w:b/>
          <w:sz w:val="24"/>
          <w:szCs w:val="24"/>
        </w:rPr>
      </w:pPr>
    </w:p>
    <w:p w:rsidR="00280FFE" w:rsidRDefault="00280FFE" w:rsidP="008069F8">
      <w:pPr>
        <w:spacing w:after="0" w:line="480" w:lineRule="auto"/>
        <w:contextualSpacing/>
        <w:jc w:val="center"/>
        <w:rPr>
          <w:rFonts w:ascii="Times New Roman" w:hAnsi="Times New Roman" w:cs="Times New Roman"/>
          <w:b/>
          <w:sz w:val="24"/>
          <w:szCs w:val="24"/>
        </w:rPr>
      </w:pPr>
    </w:p>
    <w:p w:rsidR="008069F8" w:rsidRDefault="00702B42" w:rsidP="008069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8069F8" w:rsidRDefault="008069F8" w:rsidP="008069F8">
      <w:pPr>
        <w:spacing w:after="0" w:line="480" w:lineRule="auto"/>
        <w:contextualSpacing/>
        <w:jc w:val="center"/>
        <w:rPr>
          <w:rFonts w:ascii="Times New Roman" w:hAnsi="Times New Roman" w:cs="Times New Roman"/>
          <w:sz w:val="24"/>
          <w:szCs w:val="24"/>
        </w:rPr>
      </w:pPr>
    </w:p>
    <w:p w:rsidR="00280FFE" w:rsidRDefault="00280FFE" w:rsidP="008069F8">
      <w:pPr>
        <w:spacing w:after="0" w:line="480" w:lineRule="auto"/>
        <w:contextualSpacing/>
        <w:jc w:val="center"/>
        <w:rPr>
          <w:rFonts w:ascii="Times New Roman" w:hAnsi="Times New Roman" w:cs="Times New Roman"/>
          <w:sz w:val="24"/>
          <w:szCs w:val="24"/>
        </w:rPr>
      </w:pPr>
    </w:p>
    <w:p w:rsidR="00280FFE" w:rsidRDefault="00280FFE" w:rsidP="008069F8">
      <w:pPr>
        <w:spacing w:after="0" w:line="480" w:lineRule="auto"/>
        <w:contextualSpacing/>
        <w:jc w:val="center"/>
        <w:rPr>
          <w:rFonts w:ascii="Times New Roman" w:hAnsi="Times New Roman" w:cs="Times New Roman"/>
          <w:sz w:val="24"/>
          <w:szCs w:val="24"/>
        </w:rPr>
      </w:pPr>
    </w:p>
    <w:p w:rsidR="008069F8" w:rsidRDefault="008069F8" w:rsidP="008069F8">
      <w:pPr>
        <w:spacing w:after="0" w:line="480" w:lineRule="auto"/>
        <w:contextualSpacing/>
        <w:jc w:val="center"/>
        <w:rPr>
          <w:rFonts w:ascii="Times New Roman" w:hAnsi="Times New Roman" w:cs="Times New Roman"/>
          <w:sz w:val="24"/>
          <w:szCs w:val="24"/>
        </w:rPr>
      </w:pPr>
    </w:p>
    <w:p w:rsidR="008069F8" w:rsidRDefault="008069F8" w:rsidP="008069F8">
      <w:pPr>
        <w:spacing w:after="0" w:line="480" w:lineRule="auto"/>
        <w:contextualSpacing/>
        <w:jc w:val="center"/>
        <w:rPr>
          <w:rFonts w:ascii="Times New Roman" w:hAnsi="Times New Roman" w:cs="Times New Roman"/>
          <w:sz w:val="24"/>
          <w:szCs w:val="24"/>
        </w:rPr>
      </w:pPr>
    </w:p>
    <w:p w:rsidR="008069F8" w:rsidRDefault="00702B42" w:rsidP="008069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8069F8" w:rsidRDefault="00702B42" w:rsidP="008069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702B42" w:rsidRDefault="00702B42" w:rsidP="008069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02B42" w:rsidRDefault="00702B42">
      <w:pPr>
        <w:rPr>
          <w:rFonts w:ascii="Times New Roman" w:hAnsi="Times New Roman" w:cs="Times New Roman"/>
          <w:sz w:val="24"/>
          <w:szCs w:val="24"/>
        </w:rPr>
      </w:pPr>
      <w:r>
        <w:rPr>
          <w:rFonts w:ascii="Times New Roman" w:hAnsi="Times New Roman" w:cs="Times New Roman"/>
          <w:sz w:val="24"/>
          <w:szCs w:val="24"/>
        </w:rPr>
        <w:br w:type="page"/>
      </w:r>
    </w:p>
    <w:p w:rsidR="00C658F0" w:rsidRPr="00C658F0" w:rsidRDefault="00C658F0" w:rsidP="00C658F0">
      <w:pPr>
        <w:spacing w:after="0" w:line="480" w:lineRule="auto"/>
        <w:ind w:firstLine="720"/>
        <w:contextualSpacing/>
        <w:jc w:val="center"/>
        <w:rPr>
          <w:rFonts w:ascii="Times New Roman" w:hAnsi="Times New Roman" w:cs="Times New Roman"/>
          <w:b/>
          <w:sz w:val="24"/>
          <w:szCs w:val="24"/>
        </w:rPr>
      </w:pPr>
      <w:r w:rsidRPr="00C658F0">
        <w:rPr>
          <w:rFonts w:ascii="Times New Roman" w:hAnsi="Times New Roman" w:cs="Times New Roman"/>
          <w:b/>
          <w:sz w:val="24"/>
          <w:szCs w:val="24"/>
        </w:rPr>
        <w:t>Manuel Galvez’s 1919 novel “Nacha Regules”</w:t>
      </w:r>
    </w:p>
    <w:p w:rsidR="00B23E65" w:rsidRDefault="00B23E65" w:rsidP="00C658F0">
      <w:pPr>
        <w:spacing w:after="0" w:line="480" w:lineRule="auto"/>
        <w:ind w:firstLine="720"/>
        <w:contextualSpacing/>
        <w:rPr>
          <w:rFonts w:ascii="Times New Roman" w:hAnsi="Times New Roman" w:cs="Times New Roman"/>
          <w:sz w:val="24"/>
          <w:szCs w:val="24"/>
        </w:rPr>
      </w:pPr>
      <w:r w:rsidRPr="00B23E65">
        <w:rPr>
          <w:rFonts w:ascii="Times New Roman" w:hAnsi="Times New Roman" w:cs="Times New Roman"/>
          <w:sz w:val="24"/>
          <w:szCs w:val="24"/>
        </w:rPr>
        <w:t xml:space="preserve">In the generation before Borges, Manuel Gálvez was perhaps the most distinguished </w:t>
      </w:r>
      <w:r>
        <w:rPr>
          <w:rFonts w:ascii="Times New Roman" w:hAnsi="Times New Roman" w:cs="Times New Roman"/>
          <w:sz w:val="24"/>
          <w:szCs w:val="24"/>
        </w:rPr>
        <w:t xml:space="preserve">Argentinean </w:t>
      </w:r>
      <w:r w:rsidRPr="00B23E65">
        <w:rPr>
          <w:rFonts w:ascii="Times New Roman" w:hAnsi="Times New Roman" w:cs="Times New Roman"/>
          <w:sz w:val="24"/>
          <w:szCs w:val="24"/>
        </w:rPr>
        <w:t>man of letters, and his reputation has suffered after Borges made Argentine literature synonymous with modernist experimentation and cosmopolitan thinking.</w:t>
      </w:r>
      <w:r>
        <w:rPr>
          <w:rFonts w:ascii="Times New Roman" w:hAnsi="Times New Roman" w:cs="Times New Roman"/>
          <w:sz w:val="24"/>
          <w:szCs w:val="24"/>
        </w:rPr>
        <w:t xml:space="preserve"> </w:t>
      </w:r>
      <w:r w:rsidRPr="00B23E65">
        <w:rPr>
          <w:rFonts w:ascii="Times New Roman" w:hAnsi="Times New Roman" w:cs="Times New Roman"/>
          <w:sz w:val="24"/>
          <w:szCs w:val="24"/>
        </w:rPr>
        <w:t xml:space="preserve">In the early twentieth century, Gálvez was simply a nineteenth-century novelist trapped in the early twentieth century: his works, intended to cover the length and width of Argentine culture, were supposedly patterned on those of Balzac, Galdós, or Zola, but he did not have any of the dispassion and suspended </w:t>
      </w:r>
      <w:r w:rsidR="00702B42" w:rsidRPr="00B23E65">
        <w:rPr>
          <w:rFonts w:ascii="Times New Roman" w:hAnsi="Times New Roman" w:cs="Times New Roman"/>
          <w:sz w:val="24"/>
          <w:szCs w:val="24"/>
        </w:rPr>
        <w:t>judgment</w:t>
      </w:r>
      <w:r w:rsidRPr="00B23E65">
        <w:rPr>
          <w:rFonts w:ascii="Times New Roman" w:hAnsi="Times New Roman" w:cs="Times New Roman"/>
          <w:sz w:val="24"/>
          <w:szCs w:val="24"/>
        </w:rPr>
        <w:t xml:space="preserve"> required to see life as a whole.</w:t>
      </w:r>
      <w:r>
        <w:rPr>
          <w:rFonts w:ascii="Times New Roman" w:hAnsi="Times New Roman" w:cs="Times New Roman"/>
          <w:sz w:val="24"/>
          <w:szCs w:val="24"/>
        </w:rPr>
        <w:t xml:space="preserve"> </w:t>
      </w:r>
      <w:r w:rsidRPr="00B23E65">
        <w:rPr>
          <w:rFonts w:ascii="Times New Roman" w:hAnsi="Times New Roman" w:cs="Times New Roman"/>
          <w:sz w:val="24"/>
          <w:szCs w:val="24"/>
        </w:rPr>
        <w:t xml:space="preserve">His bourgeois morality and Eurocentric prejudice mean that he </w:t>
      </w:r>
      <w:r w:rsidR="00702B42" w:rsidRPr="00B23E65">
        <w:rPr>
          <w:rFonts w:ascii="Times New Roman" w:hAnsi="Times New Roman" w:cs="Times New Roman"/>
          <w:sz w:val="24"/>
          <w:szCs w:val="24"/>
        </w:rPr>
        <w:t>traffics</w:t>
      </w:r>
      <w:r w:rsidRPr="00B23E65">
        <w:rPr>
          <w:rFonts w:ascii="Times New Roman" w:hAnsi="Times New Roman" w:cs="Times New Roman"/>
          <w:sz w:val="24"/>
          <w:szCs w:val="24"/>
        </w:rPr>
        <w:t xml:space="preserve"> from one end of the novel (an thrilling and risky tango cabaret) to the other in nothing but stereotypes (a blin</w:t>
      </w:r>
      <w:r w:rsidR="008257EE">
        <w:rPr>
          <w:rFonts w:ascii="Times New Roman" w:hAnsi="Times New Roman" w:cs="Times New Roman"/>
          <w:sz w:val="24"/>
          <w:szCs w:val="24"/>
        </w:rPr>
        <w:t>d prophet decrying World War I).</w:t>
      </w:r>
      <w:r w:rsidR="008257EE">
        <w:rPr>
          <w:rStyle w:val="FootnoteReference"/>
          <w:rFonts w:ascii="Times New Roman" w:hAnsi="Times New Roman" w:cs="Times New Roman"/>
          <w:sz w:val="24"/>
          <w:szCs w:val="24"/>
        </w:rPr>
        <w:footnoteReference w:id="1"/>
      </w:r>
    </w:p>
    <w:p w:rsidR="00366C6B" w:rsidRDefault="00366C6B" w:rsidP="00C658F0">
      <w:pPr>
        <w:spacing w:after="0" w:line="480" w:lineRule="auto"/>
        <w:ind w:firstLine="720"/>
        <w:contextualSpacing/>
        <w:rPr>
          <w:rFonts w:ascii="Times New Roman" w:hAnsi="Times New Roman" w:cs="Times New Roman"/>
          <w:sz w:val="24"/>
          <w:szCs w:val="24"/>
        </w:rPr>
      </w:pPr>
      <w:r w:rsidRPr="00366C6B">
        <w:rPr>
          <w:rFonts w:ascii="Times New Roman" w:hAnsi="Times New Roman" w:cs="Times New Roman"/>
          <w:sz w:val="24"/>
          <w:szCs w:val="24"/>
        </w:rPr>
        <w:t>If Nacha Regules is his Nana, in order to make his readers feel sympathy for a prostitute, he must turn her into a paragon of noble suffering; all the sex workers we encounter in the novel are either good girls wounded (and white) or villains of depravity (and brown).</w:t>
      </w:r>
      <w:r w:rsidR="00C83F69" w:rsidRPr="00C83F69">
        <w:rPr>
          <w:rFonts w:ascii="Times New Roman" w:hAnsi="Times New Roman" w:cs="Times New Roman"/>
          <w:sz w:val="24"/>
          <w:szCs w:val="24"/>
        </w:rPr>
        <w:t xml:space="preserve"> </w:t>
      </w:r>
      <w:r w:rsidRPr="00366C6B">
        <w:rPr>
          <w:rFonts w:ascii="Times New Roman" w:hAnsi="Times New Roman" w:cs="Times New Roman"/>
          <w:sz w:val="24"/>
          <w:szCs w:val="24"/>
        </w:rPr>
        <w:t>Which is bad enough; but even as he makes attempts to really see things as they are the narrator, Monsalvat, properly diagnoses social injustice as a systemic problem, not about individual morality), the cloying sentimentality of the plot was what really made me hate it.</w:t>
      </w:r>
      <w:r w:rsidR="003B2576">
        <w:rPr>
          <w:rStyle w:val="EndnoteReference"/>
          <w:rFonts w:ascii="Times New Roman" w:hAnsi="Times New Roman" w:cs="Times New Roman"/>
          <w:sz w:val="24"/>
          <w:szCs w:val="24"/>
        </w:rPr>
        <w:endnoteReference w:id="1"/>
      </w:r>
    </w:p>
    <w:p w:rsidR="00366C6B" w:rsidRDefault="00366C6B" w:rsidP="00C658F0">
      <w:pPr>
        <w:spacing w:after="0" w:line="480" w:lineRule="auto"/>
        <w:ind w:firstLine="720"/>
        <w:contextualSpacing/>
        <w:rPr>
          <w:rFonts w:ascii="Times New Roman" w:hAnsi="Times New Roman" w:cs="Times New Roman"/>
          <w:sz w:val="24"/>
          <w:szCs w:val="24"/>
        </w:rPr>
      </w:pPr>
      <w:r w:rsidRPr="00366C6B">
        <w:rPr>
          <w:rFonts w:ascii="Times New Roman" w:hAnsi="Times New Roman" w:cs="Times New Roman"/>
          <w:sz w:val="24"/>
          <w:szCs w:val="24"/>
        </w:rPr>
        <w:t>There are bits and pieces that can be rescued; instead of a flame of righteousness, an adaptation that turned Monsalvat into an individual and saw sex workers as individuals instead of stereotypes may actually be a decent work of art. Yet it's a disaster as it is.</w:t>
      </w:r>
    </w:p>
    <w:p w:rsidR="008E64A7" w:rsidRPr="008E64A7" w:rsidRDefault="008E64A7" w:rsidP="00C658F0">
      <w:pPr>
        <w:spacing w:after="0" w:line="480" w:lineRule="auto"/>
        <w:ind w:firstLine="720"/>
        <w:contextualSpacing/>
        <w:rPr>
          <w:rFonts w:ascii="Times New Roman" w:hAnsi="Times New Roman" w:cs="Times New Roman"/>
          <w:b/>
          <w:sz w:val="24"/>
          <w:szCs w:val="24"/>
        </w:rPr>
      </w:pPr>
      <w:r w:rsidRPr="008E64A7">
        <w:rPr>
          <w:rFonts w:ascii="Times New Roman" w:hAnsi="Times New Roman" w:cs="Times New Roman"/>
          <w:b/>
          <w:sz w:val="24"/>
          <w:szCs w:val="24"/>
        </w:rPr>
        <w:t>Rise of Nationalism in Argentina</w:t>
      </w:r>
    </w:p>
    <w:p w:rsidR="00366C6B" w:rsidRDefault="00366C6B" w:rsidP="00C658F0">
      <w:pPr>
        <w:spacing w:after="0" w:line="480" w:lineRule="auto"/>
        <w:ind w:firstLine="720"/>
        <w:contextualSpacing/>
        <w:rPr>
          <w:rFonts w:ascii="Times New Roman" w:hAnsi="Times New Roman" w:cs="Times New Roman"/>
          <w:sz w:val="24"/>
          <w:szCs w:val="24"/>
        </w:rPr>
      </w:pPr>
      <w:r w:rsidRPr="00366C6B">
        <w:rPr>
          <w:rFonts w:ascii="Times New Roman" w:hAnsi="Times New Roman" w:cs="Times New Roman"/>
          <w:sz w:val="24"/>
          <w:szCs w:val="24"/>
        </w:rPr>
        <w:t>I read simultaneously both the Spanish original of 1919 and the English translation of 1921, a chapter at a time (they are both in the public domain so it was simple), which was a nice kind of training wheels for directly reading more proper literature in Spanish.</w:t>
      </w:r>
      <w:r>
        <w:rPr>
          <w:rFonts w:ascii="Times New Roman" w:hAnsi="Times New Roman" w:cs="Times New Roman"/>
          <w:sz w:val="24"/>
          <w:szCs w:val="24"/>
        </w:rPr>
        <w:t xml:space="preserve"> </w:t>
      </w:r>
      <w:r w:rsidRPr="00366C6B">
        <w:rPr>
          <w:rFonts w:ascii="Times New Roman" w:hAnsi="Times New Roman" w:cs="Times New Roman"/>
          <w:sz w:val="24"/>
          <w:szCs w:val="24"/>
        </w:rPr>
        <w:t xml:space="preserve">It was humorous to notice that while Gálvez is prudently reticent about the actual labor of sex work, the English (I should say </w:t>
      </w:r>
      <w:r w:rsidR="002E4DC2">
        <w:rPr>
          <w:rFonts w:ascii="Times New Roman" w:hAnsi="Times New Roman" w:cs="Times New Roman"/>
          <w:sz w:val="24"/>
          <w:szCs w:val="24"/>
        </w:rPr>
        <w:t>ARGENTINA</w:t>
      </w:r>
      <w:r w:rsidRPr="00366C6B">
        <w:rPr>
          <w:rFonts w:ascii="Times New Roman" w:hAnsi="Times New Roman" w:cs="Times New Roman"/>
          <w:sz w:val="24"/>
          <w:szCs w:val="24"/>
        </w:rPr>
        <w:t>.) translation was further bowdlerized, with all reference to possible sex outcomes such a</w:t>
      </w:r>
      <w:r>
        <w:rPr>
          <w:rFonts w:ascii="Times New Roman" w:hAnsi="Times New Roman" w:cs="Times New Roman"/>
          <w:sz w:val="24"/>
          <w:szCs w:val="24"/>
        </w:rPr>
        <w:t xml:space="preserve">s pregnancy or venereal disease </w:t>
      </w:r>
      <w:r w:rsidRPr="00366C6B">
        <w:rPr>
          <w:rFonts w:ascii="Times New Roman" w:hAnsi="Times New Roman" w:cs="Times New Roman"/>
          <w:sz w:val="24"/>
          <w:szCs w:val="24"/>
        </w:rPr>
        <w:t>or even apparent facts s</w:t>
      </w:r>
      <w:r>
        <w:rPr>
          <w:rFonts w:ascii="Times New Roman" w:hAnsi="Times New Roman" w:cs="Times New Roman"/>
          <w:sz w:val="24"/>
          <w:szCs w:val="24"/>
        </w:rPr>
        <w:t xml:space="preserve">uch as two people sharing a bed </w:t>
      </w:r>
      <w:r w:rsidRPr="00366C6B">
        <w:rPr>
          <w:rFonts w:ascii="Times New Roman" w:hAnsi="Times New Roman" w:cs="Times New Roman"/>
          <w:sz w:val="24"/>
          <w:szCs w:val="24"/>
        </w:rPr>
        <w:t>expurgated. I read a lot of translations from the time, and now I'm wondering what else I missed.</w:t>
      </w:r>
    </w:p>
    <w:p w:rsidR="00366C6B" w:rsidRDefault="00366C6B" w:rsidP="00C658F0">
      <w:pPr>
        <w:spacing w:after="0" w:line="480" w:lineRule="auto"/>
        <w:ind w:firstLine="720"/>
        <w:contextualSpacing/>
        <w:rPr>
          <w:rFonts w:ascii="Times New Roman" w:hAnsi="Times New Roman" w:cs="Times New Roman"/>
          <w:sz w:val="24"/>
          <w:szCs w:val="24"/>
        </w:rPr>
      </w:pPr>
      <w:r w:rsidRPr="00366C6B">
        <w:rPr>
          <w:rFonts w:ascii="Times New Roman" w:hAnsi="Times New Roman" w:cs="Times New Roman"/>
          <w:sz w:val="24"/>
          <w:szCs w:val="24"/>
        </w:rPr>
        <w:t>Manuel Gálvez knew how to say what terms often hold. At a critical moment in the region, his literary and social intervention took place, a systematic effort to reconnect a near past with the exciting new Argentina that attracted the attention of the whole world (immigration boom).</w:t>
      </w:r>
      <w:r>
        <w:rPr>
          <w:rFonts w:ascii="Times New Roman" w:hAnsi="Times New Roman" w:cs="Times New Roman"/>
          <w:sz w:val="24"/>
          <w:szCs w:val="24"/>
        </w:rPr>
        <w:t xml:space="preserve"> </w:t>
      </w:r>
      <w:r w:rsidRPr="00366C6B">
        <w:rPr>
          <w:rFonts w:ascii="Times New Roman" w:hAnsi="Times New Roman" w:cs="Times New Roman"/>
          <w:sz w:val="24"/>
          <w:szCs w:val="24"/>
        </w:rPr>
        <w:t xml:space="preserve">Gálvez wrote a large part of his work after the Centennial and until beyond '30, in an effortless and plausible attempt to reform and publicize the country's enormous economic possibilities. A novelist, storyteller, </w:t>
      </w:r>
      <w:r w:rsidR="00D34686">
        <w:rPr>
          <w:rFonts w:ascii="Times New Roman" w:hAnsi="Times New Roman" w:cs="Times New Roman"/>
          <w:sz w:val="24"/>
          <w:szCs w:val="24"/>
        </w:rPr>
        <w:t>socio-politician</w:t>
      </w:r>
      <w:r w:rsidRPr="00366C6B">
        <w:rPr>
          <w:rFonts w:ascii="Times New Roman" w:hAnsi="Times New Roman" w:cs="Times New Roman"/>
          <w:sz w:val="24"/>
          <w:szCs w:val="24"/>
        </w:rPr>
        <w:t xml:space="preserve"> and poet, he was dubbed Latin America's Pérez Galdós. Because "El Matadero" by Echeverría, the urban realist novel was already palpable with a naturalism that lasted until the first decade of the 20th, leaning towards the distinctly social.</w:t>
      </w:r>
      <w:r w:rsidR="009413A6">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p>
    <w:p w:rsidR="00B23E65" w:rsidRDefault="00A93424" w:rsidP="00C658F0">
      <w:pPr>
        <w:spacing w:after="0" w:line="480" w:lineRule="auto"/>
        <w:ind w:firstLine="720"/>
        <w:contextualSpacing/>
        <w:rPr>
          <w:rFonts w:ascii="Times New Roman" w:hAnsi="Times New Roman" w:cs="Times New Roman"/>
          <w:sz w:val="24"/>
          <w:szCs w:val="24"/>
        </w:rPr>
      </w:pPr>
      <w:r w:rsidRPr="00A93424">
        <w:rPr>
          <w:rFonts w:ascii="Times New Roman" w:hAnsi="Times New Roman" w:cs="Times New Roman"/>
          <w:sz w:val="24"/>
          <w:szCs w:val="24"/>
        </w:rPr>
        <w:t>In Manuel Gálvez, there are new ways of thinking and saying followed by writers such as Leónidas Barletta, Arlt and Álvaro Yunque. Gálvez will stand out for almost all his production, both in terms of subject matter and in the clear purpose of providing a reality that needs to be felt, and accompanied by a possible social correction, for example, in the face of the devaluation of women: “The malevo accepted, although distrustful. She was afraid that Rosalinda would tell the other workers about the bitchy life that she put her through and tha</w:t>
      </w:r>
      <w:r w:rsidR="00366C6B">
        <w:rPr>
          <w:rFonts w:ascii="Times New Roman" w:hAnsi="Times New Roman" w:cs="Times New Roman"/>
          <w:sz w:val="24"/>
          <w:szCs w:val="24"/>
        </w:rPr>
        <w:t xml:space="preserve">t the police would </w:t>
      </w:r>
      <w:r w:rsidR="00C658F0">
        <w:rPr>
          <w:rFonts w:ascii="Times New Roman" w:hAnsi="Times New Roman" w:cs="Times New Roman"/>
          <w:sz w:val="24"/>
          <w:szCs w:val="24"/>
        </w:rPr>
        <w:t xml:space="preserve">intervene </w:t>
      </w:r>
      <w:r w:rsidR="00C658F0" w:rsidRPr="00A93424">
        <w:rPr>
          <w:rFonts w:ascii="Times New Roman" w:hAnsi="Times New Roman" w:cs="Times New Roman"/>
          <w:sz w:val="24"/>
          <w:szCs w:val="24"/>
        </w:rPr>
        <w:t>(</w:t>
      </w:r>
      <w:r w:rsidRPr="00A93424">
        <w:rPr>
          <w:rFonts w:ascii="Times New Roman" w:hAnsi="Times New Roman" w:cs="Times New Roman"/>
          <w:sz w:val="24"/>
          <w:szCs w:val="24"/>
        </w:rPr>
        <w:t>"History of the suburb").</w:t>
      </w:r>
    </w:p>
    <w:p w:rsidR="008E64A7" w:rsidRPr="008E64A7" w:rsidRDefault="008E64A7" w:rsidP="00C658F0">
      <w:pPr>
        <w:spacing w:after="0" w:line="480" w:lineRule="auto"/>
        <w:ind w:firstLine="720"/>
        <w:contextualSpacing/>
        <w:rPr>
          <w:rFonts w:ascii="Times New Roman" w:hAnsi="Times New Roman" w:cs="Times New Roman"/>
          <w:b/>
          <w:sz w:val="24"/>
          <w:szCs w:val="24"/>
        </w:rPr>
      </w:pPr>
      <w:r w:rsidRPr="008E64A7">
        <w:rPr>
          <w:rFonts w:ascii="Times New Roman" w:hAnsi="Times New Roman" w:cs="Times New Roman"/>
          <w:b/>
          <w:sz w:val="24"/>
          <w:szCs w:val="24"/>
        </w:rPr>
        <w:t>The Rise and Ideology of the Generation of the Centenary</w:t>
      </w:r>
    </w:p>
    <w:p w:rsidR="00A93424" w:rsidRPr="00A93424" w:rsidRDefault="00A93424" w:rsidP="00C658F0">
      <w:pPr>
        <w:spacing w:after="0" w:line="480" w:lineRule="auto"/>
        <w:ind w:firstLine="720"/>
        <w:contextualSpacing/>
        <w:rPr>
          <w:rFonts w:ascii="Times New Roman" w:hAnsi="Times New Roman" w:cs="Times New Roman"/>
          <w:sz w:val="24"/>
          <w:szCs w:val="24"/>
        </w:rPr>
      </w:pPr>
      <w:r w:rsidRPr="00A93424">
        <w:rPr>
          <w:rFonts w:ascii="Times New Roman" w:hAnsi="Times New Roman" w:cs="Times New Roman"/>
          <w:sz w:val="24"/>
          <w:szCs w:val="24"/>
        </w:rPr>
        <w:t> In all this thematic issue -common to so many writers of that time-, Gálvez showed greater candor, judging everything with equanimity, seeing himself reflected there and noting the defects but also the virtues. Together with Ricardo Rojas, he will attack the materialistic excesses manifesting a closed spiritualist inspiration: he sees all the humanity of the human being ... he sees everything from very high and partially, according to Jorge Laforgue. In all this thematic issue -common to so many writers of that time-, Gálvez showed greater candor, judging everything with equanimity, seeing himself reflected there and noting the defects but also the virtues. Together with Ricardo Rojas, he will attack the materialistic excesses manifesting a closed spiritualist inspiration: he sees all the humanity of the human being ... he sees everything from very high and partially, according to Jorge Laforgue. In all this thematic issue -common to so many writers of that time-, Gálvez showed greater candor, judging everything with equanimity, seeing himself reflected there and noting the defects but also the virtues. Together with Ricardo Rojas, he will attack the materialistic excesses manifesting a closed spiritualist inspiration: he sees all the humanity of the human being ... he sees everything from very high and partially, according to Jorge Laforgue.</w:t>
      </w:r>
    </w:p>
    <w:p w:rsidR="00A93424" w:rsidRPr="00A93424" w:rsidRDefault="00A93424" w:rsidP="00C658F0">
      <w:pPr>
        <w:spacing w:after="0" w:line="480" w:lineRule="auto"/>
        <w:ind w:firstLine="720"/>
        <w:contextualSpacing/>
        <w:rPr>
          <w:rFonts w:ascii="Times New Roman" w:hAnsi="Times New Roman" w:cs="Times New Roman"/>
          <w:sz w:val="24"/>
          <w:szCs w:val="24"/>
        </w:rPr>
      </w:pPr>
      <w:r w:rsidRPr="00A93424">
        <w:rPr>
          <w:rFonts w:ascii="Times New Roman" w:hAnsi="Times New Roman" w:cs="Times New Roman"/>
          <w:sz w:val="24"/>
          <w:szCs w:val="24"/>
        </w:rPr>
        <w:t>But we have to re-read Gálvez in order, situated in his time, to recognize his conviction regarding the writer as a viewer of the world that needs to be broken down and judged, describing it ardently. In his works, both in "Historia de Arrabal" and in "Nacha Regules" and "Luna de miel y otros narraciones", he produces a new, contagious and active experience to which his readers must join, finding his aesthetic and social thinking that allows penetrate into the interior of things and the soul.</w:t>
      </w:r>
    </w:p>
    <w:p w:rsidR="00A93424" w:rsidRPr="00A93424" w:rsidRDefault="00A93424" w:rsidP="00C658F0">
      <w:pPr>
        <w:spacing w:after="0" w:line="480" w:lineRule="auto"/>
        <w:ind w:firstLine="720"/>
        <w:contextualSpacing/>
        <w:rPr>
          <w:rFonts w:ascii="Times New Roman" w:hAnsi="Times New Roman" w:cs="Times New Roman"/>
          <w:sz w:val="24"/>
          <w:szCs w:val="24"/>
        </w:rPr>
      </w:pPr>
      <w:r w:rsidRPr="00A93424">
        <w:rPr>
          <w:rFonts w:ascii="Times New Roman" w:hAnsi="Times New Roman" w:cs="Times New Roman"/>
          <w:sz w:val="24"/>
          <w:szCs w:val="24"/>
        </w:rPr>
        <w:t>For his valuable literary work, he was appointed a member of the Royal Spanish Academy and the Argentine Academy of Literature. Author of the celebrated book "General Quiroga", in 1930 he founded the Pen Club of Buenos Aires. His work will live forever in Argentine literature along with his masterful "Biography of Sarmiento."</w:t>
      </w:r>
    </w:p>
    <w:p w:rsidR="00A93424" w:rsidRDefault="00A93424" w:rsidP="00C658F0">
      <w:pPr>
        <w:spacing w:after="0" w:line="480" w:lineRule="auto"/>
        <w:ind w:firstLine="720"/>
        <w:contextualSpacing/>
        <w:rPr>
          <w:rFonts w:ascii="Times New Roman" w:hAnsi="Times New Roman" w:cs="Times New Roman"/>
          <w:sz w:val="24"/>
          <w:szCs w:val="24"/>
        </w:rPr>
      </w:pPr>
      <w:r w:rsidRPr="00A93424">
        <w:rPr>
          <w:rFonts w:ascii="Times New Roman" w:hAnsi="Times New Roman" w:cs="Times New Roman"/>
          <w:sz w:val="24"/>
          <w:szCs w:val="24"/>
        </w:rPr>
        <w:t>"Languages ​​are not only specific or independent verbal constructions but they carry with them the experience of each nation ...</w:t>
      </w:r>
      <w:r w:rsidR="008E64A7" w:rsidRPr="00A93424">
        <w:rPr>
          <w:rFonts w:ascii="Times New Roman" w:hAnsi="Times New Roman" w:cs="Times New Roman"/>
          <w:sz w:val="24"/>
          <w:szCs w:val="24"/>
        </w:rPr>
        <w:t>”</w:t>
      </w:r>
      <w:r w:rsidRPr="00A93424">
        <w:rPr>
          <w:rFonts w:ascii="Times New Roman" w:hAnsi="Times New Roman" w:cs="Times New Roman"/>
          <w:sz w:val="24"/>
          <w:szCs w:val="24"/>
        </w:rPr>
        <w:t> Ivonne Bordelois</w:t>
      </w:r>
    </w:p>
    <w:p w:rsidR="00A313CE" w:rsidRPr="008B6EA5" w:rsidRDefault="00A313CE" w:rsidP="008B6EA5">
      <w:pPr>
        <w:spacing w:after="0" w:line="480" w:lineRule="auto"/>
        <w:ind w:firstLine="720"/>
        <w:contextualSpacing/>
        <w:jc w:val="center"/>
        <w:rPr>
          <w:rFonts w:ascii="Times New Roman" w:hAnsi="Times New Roman" w:cs="Times New Roman"/>
          <w:b/>
          <w:sz w:val="24"/>
          <w:szCs w:val="24"/>
        </w:rPr>
      </w:pPr>
      <w:r w:rsidRPr="008B6EA5">
        <w:rPr>
          <w:rFonts w:ascii="Times New Roman" w:hAnsi="Times New Roman" w:cs="Times New Roman"/>
          <w:b/>
          <w:sz w:val="24"/>
          <w:szCs w:val="24"/>
        </w:rPr>
        <w:t>Culture</w:t>
      </w:r>
    </w:p>
    <w:p w:rsidR="00A313CE" w:rsidRPr="00A313CE" w:rsidRDefault="00A313CE" w:rsidP="00A313CE">
      <w:pPr>
        <w:spacing w:after="0" w:line="480" w:lineRule="auto"/>
        <w:ind w:firstLine="720"/>
        <w:contextualSpacing/>
        <w:rPr>
          <w:rFonts w:ascii="Times New Roman" w:hAnsi="Times New Roman" w:cs="Times New Roman"/>
          <w:sz w:val="24"/>
          <w:szCs w:val="24"/>
        </w:rPr>
      </w:pPr>
      <w:r w:rsidRPr="00A313CE">
        <w:rPr>
          <w:rFonts w:ascii="Times New Roman" w:hAnsi="Times New Roman" w:cs="Times New Roman"/>
          <w:sz w:val="24"/>
          <w:szCs w:val="24"/>
        </w:rPr>
        <w:t xml:space="preserve">As mentioned, the representation of women in governments has been quite poor and this is due to a number of challenges that they face as females in a male society. Factors such as culture and gender inequality are the major aspects that have greatly affected the political race of many female candidates. </w:t>
      </w:r>
      <w:r w:rsidR="008B6EA5" w:rsidRPr="00A313CE">
        <w:rPr>
          <w:rFonts w:ascii="Times New Roman" w:hAnsi="Times New Roman" w:cs="Times New Roman"/>
          <w:sz w:val="24"/>
          <w:szCs w:val="24"/>
        </w:rPr>
        <w:t>In spite</w:t>
      </w:r>
      <w:r w:rsidRPr="00A313CE">
        <w:rPr>
          <w:rFonts w:ascii="Times New Roman" w:hAnsi="Times New Roman" w:cs="Times New Roman"/>
          <w:sz w:val="24"/>
          <w:szCs w:val="24"/>
        </w:rPr>
        <w:t xml:space="preserve"> of these two factors, many women have been known to excel in various political fields and in fact scale unimaginable heights like the presidency. The cultural factor has several subsets that fall under its faction and these include; religion, ethnicity, norms, beliefs and values. The shaping of societies in general is dependent on cultural and traditional factors, as well as economic and political systems. In America, society, culture and traditions play a major role. Culture predominantly influences women's' roles in the political arena, because of the emphasis placed on women's status and acceptable behavior as dictated by society. No matter what form the political system takes, no matter what level of education women attain, no matter what traditional values govern employment, many American women still do not play major leadership roles in modern day economics because cultural factors have impeded their development.</w:t>
      </w:r>
    </w:p>
    <w:p w:rsidR="00A313CE" w:rsidRDefault="00A313CE" w:rsidP="00A313CE">
      <w:pPr>
        <w:spacing w:after="0" w:line="480" w:lineRule="auto"/>
        <w:ind w:firstLine="720"/>
        <w:contextualSpacing/>
        <w:rPr>
          <w:rFonts w:ascii="Times New Roman" w:hAnsi="Times New Roman" w:cs="Times New Roman"/>
          <w:sz w:val="24"/>
          <w:szCs w:val="24"/>
        </w:rPr>
      </w:pPr>
      <w:r w:rsidRPr="00A313CE">
        <w:rPr>
          <w:rFonts w:ascii="Times New Roman" w:hAnsi="Times New Roman" w:cs="Times New Roman"/>
          <w:sz w:val="24"/>
          <w:szCs w:val="24"/>
        </w:rPr>
        <w:t>The participation of religious women in the public domain, including the political arena, is very limited in America. Many religions such as Islam give no social or political rights to females. Most people that profess the Muslim faith do not believe that men and women are equal in matters of religion. The role of women in the family and upbringing of children play a major part consequently, the women are allowed to worship at home as the men and the boys worship at the mosque. Despite the active role of women in religion, I women are denied access to any management roles and leadership positions in the country's religious institutions. There are still some conservative segments of the Christian and Hindu population who also do not want to embrace The New World Order, where women work and are independent, religion is still the excuse of this people. There is as an ideological conflict between culture and religion. For instance, Islam allows women the right to education and work, still Islamic women continue to seek careers and political power with society's expectations hover over them, giving them more strength to those who oppose empowering women.</w:t>
      </w:r>
    </w:p>
    <w:p w:rsidR="00A313CE" w:rsidRPr="00A313CE" w:rsidRDefault="00A313CE" w:rsidP="00A313CE">
      <w:pPr>
        <w:spacing w:after="0" w:line="480" w:lineRule="auto"/>
        <w:ind w:firstLine="720"/>
        <w:contextualSpacing/>
        <w:rPr>
          <w:rFonts w:ascii="Times New Roman" w:hAnsi="Times New Roman" w:cs="Times New Roman"/>
          <w:sz w:val="24"/>
          <w:szCs w:val="24"/>
        </w:rPr>
      </w:pPr>
      <w:r w:rsidRPr="00A313CE">
        <w:rPr>
          <w:rFonts w:ascii="Times New Roman" w:hAnsi="Times New Roman" w:cs="Times New Roman"/>
          <w:sz w:val="24"/>
          <w:szCs w:val="24"/>
        </w:rPr>
        <w:t xml:space="preserve">Different ethnicities also have different reactions to the political activities of females. In the Caucasian community, it is normally not so much as the role of women but rather their ability to stand against males. On the other hand in the African, Asian and other ethnic groups, the roles of women are clearly specified and they are not obliged to be politically active. Also, the Asian, Arab and sub Saharan communities greatly look down upon females therefore the personal urge for them to be active in politics is </w:t>
      </w:r>
      <w:r w:rsidR="002E4DC2" w:rsidRPr="00A313CE">
        <w:rPr>
          <w:rFonts w:ascii="Times New Roman" w:hAnsi="Times New Roman" w:cs="Times New Roman"/>
          <w:sz w:val="24"/>
          <w:szCs w:val="24"/>
        </w:rPr>
        <w:t>nonexistent</w:t>
      </w:r>
      <w:r w:rsidRPr="00A313CE">
        <w:rPr>
          <w:rFonts w:ascii="Times New Roman" w:hAnsi="Times New Roman" w:cs="Times New Roman"/>
          <w:sz w:val="24"/>
          <w:szCs w:val="24"/>
        </w:rPr>
        <w:t>. For instance, in America, women are considered to be less than men and equal to children. Males are given priority in business, education not to mention politics. The belief systems and values of many cultures also dictate that women should be beside their children and families and not active in political fields. In many cultures, often in the past, women did not have much to do outside their homes. Girls, from an early age, obtained a domestic role that befitted them. For example, for a young girl in Africa, becoming a mother is the norm and is the biggest goal in life. She is raised to believe that she should aim to be a "good mother" and that it is her duty to dedicate herself to her spouse and offspring. However, this is gradually changing with the new age that is dawning.</w:t>
      </w:r>
      <w:r w:rsidR="00ED0C06">
        <w:rPr>
          <w:rStyle w:val="EndnoteReference"/>
          <w:rFonts w:ascii="Times New Roman" w:hAnsi="Times New Roman" w:cs="Times New Roman"/>
          <w:sz w:val="24"/>
          <w:szCs w:val="24"/>
        </w:rPr>
        <w:endnoteReference w:id="2"/>
      </w:r>
    </w:p>
    <w:p w:rsidR="00A313CE" w:rsidRPr="00A313CE" w:rsidRDefault="00A313CE" w:rsidP="00A313CE">
      <w:pPr>
        <w:spacing w:after="0" w:line="480" w:lineRule="auto"/>
        <w:ind w:firstLine="720"/>
        <w:contextualSpacing/>
        <w:rPr>
          <w:rFonts w:ascii="Times New Roman" w:hAnsi="Times New Roman" w:cs="Times New Roman"/>
          <w:sz w:val="24"/>
          <w:szCs w:val="24"/>
        </w:rPr>
      </w:pPr>
      <w:r w:rsidRPr="00A313CE">
        <w:rPr>
          <w:rFonts w:ascii="Times New Roman" w:hAnsi="Times New Roman" w:cs="Times New Roman"/>
          <w:sz w:val="24"/>
          <w:szCs w:val="24"/>
        </w:rPr>
        <w:t>Culturally women have been socialized to be submissive and not challenge status quo. Institutions are ideally supposed to empower women, build them enough to challenge this status. There is a need for cultural transformation where women are seen as weaker vessels and thus unable to lead. Women have proved that they are capable of partaking in decision-making. Women need the support of all citizens in order to take up political positions. We derive some leadership inspiration from Nancy Pelosi, the newly elected Speaker of the Congress in the US, and also Hillary Rodham Clinton, Senator of New York. These are top positions occupied by women in America who refused to bow to the culture of social oppression.</w:t>
      </w:r>
    </w:p>
    <w:p w:rsidR="003B2576" w:rsidRDefault="00A313CE" w:rsidP="00A313CE">
      <w:pPr>
        <w:spacing w:after="0" w:line="480" w:lineRule="auto"/>
        <w:ind w:firstLine="720"/>
        <w:contextualSpacing/>
        <w:rPr>
          <w:rFonts w:ascii="Times New Roman" w:hAnsi="Times New Roman" w:cs="Times New Roman"/>
          <w:sz w:val="24"/>
          <w:szCs w:val="24"/>
        </w:rPr>
      </w:pPr>
      <w:r w:rsidRPr="00A313CE">
        <w:rPr>
          <w:rFonts w:ascii="Times New Roman" w:hAnsi="Times New Roman" w:cs="Times New Roman"/>
          <w:sz w:val="24"/>
          <w:szCs w:val="24"/>
        </w:rPr>
        <w:t>Democratic institutions are institutions created for the purpose of strengthening democracy in a country. It is a legitimate way of national administration and practiced through a systemic structure of institutions and bodies which are established for specific purposes and functions. These institutions include; the Executive, the legislature and the Judiciary. These three bodies are normally referred to as the three arms of government. Other democratic bodies include the National Electoral Commission, the Commission on Human Rights and Administrative Justice, the National Commission on Civic Education among others. If indeed the practice of democracy, through its various legitimate institutions would lead to the realization of respect for human rights and the rule of law, then women politicians have a duty to help fashion out formidable means to strengthen these institutions.</w:t>
      </w:r>
    </w:p>
    <w:p w:rsidR="003B2576" w:rsidRDefault="003B2576">
      <w:pPr>
        <w:rPr>
          <w:rFonts w:ascii="Times New Roman" w:hAnsi="Times New Roman" w:cs="Times New Roman"/>
          <w:sz w:val="24"/>
          <w:szCs w:val="24"/>
        </w:rPr>
      </w:pPr>
      <w:r>
        <w:rPr>
          <w:rFonts w:ascii="Times New Roman" w:hAnsi="Times New Roman" w:cs="Times New Roman"/>
          <w:sz w:val="24"/>
          <w:szCs w:val="24"/>
        </w:rPr>
        <w:br w:type="page"/>
      </w:r>
    </w:p>
    <w:p w:rsidR="003B2576" w:rsidRPr="003B2576" w:rsidRDefault="003B2576" w:rsidP="003B2576">
      <w:pPr>
        <w:spacing w:after="0" w:line="480" w:lineRule="auto"/>
        <w:ind w:firstLine="720"/>
        <w:contextualSpacing/>
        <w:jc w:val="center"/>
        <w:rPr>
          <w:rFonts w:ascii="Times New Roman" w:hAnsi="Times New Roman" w:cs="Times New Roman"/>
          <w:b/>
          <w:sz w:val="24"/>
          <w:szCs w:val="24"/>
        </w:rPr>
      </w:pPr>
      <w:r w:rsidRPr="003B2576">
        <w:rPr>
          <w:rFonts w:ascii="Times New Roman" w:hAnsi="Times New Roman" w:cs="Times New Roman"/>
          <w:b/>
          <w:sz w:val="24"/>
          <w:szCs w:val="24"/>
        </w:rPr>
        <w:t>Bibliography.</w:t>
      </w:r>
    </w:p>
    <w:p w:rsidR="003B2576" w:rsidRPr="003B2576" w:rsidRDefault="003B2576" w:rsidP="003B2576">
      <w:pPr>
        <w:spacing w:after="0" w:line="240" w:lineRule="auto"/>
        <w:ind w:left="720" w:hanging="720"/>
        <w:contextualSpacing/>
        <w:rPr>
          <w:rFonts w:ascii="Times New Roman" w:hAnsi="Times New Roman" w:cs="Times New Roman"/>
          <w:sz w:val="24"/>
          <w:szCs w:val="24"/>
        </w:rPr>
      </w:pPr>
      <w:r w:rsidRPr="003B2576">
        <w:rPr>
          <w:rFonts w:ascii="Times New Roman" w:hAnsi="Times New Roman" w:cs="Times New Roman"/>
          <w:sz w:val="24"/>
          <w:szCs w:val="24"/>
        </w:rPr>
        <w:t>Canovas, Rodrigo. "READING OF THE ARGENTINE NOVEL NACHA REGULES (1919): ILLUSIONS OF SOCIAL CHANGE1." </w:t>
      </w:r>
      <w:r w:rsidRPr="003B2576">
        <w:rPr>
          <w:rFonts w:ascii="Times New Roman" w:hAnsi="Times New Roman" w:cs="Times New Roman"/>
          <w:i/>
          <w:iCs/>
          <w:sz w:val="24"/>
          <w:szCs w:val="24"/>
        </w:rPr>
        <w:t>Taller de Letras</w:t>
      </w:r>
      <w:r w:rsidRPr="003B2576">
        <w:rPr>
          <w:rFonts w:ascii="Times New Roman" w:hAnsi="Times New Roman" w:cs="Times New Roman"/>
          <w:sz w:val="24"/>
          <w:szCs w:val="24"/>
        </w:rPr>
        <w:t> 29 (2001): 9.</w:t>
      </w:r>
    </w:p>
    <w:p w:rsidR="003B2576" w:rsidRPr="003B2576" w:rsidRDefault="003B2576" w:rsidP="003B2576">
      <w:pPr>
        <w:spacing w:after="0" w:line="240" w:lineRule="auto"/>
        <w:ind w:left="720" w:hanging="720"/>
        <w:contextualSpacing/>
        <w:rPr>
          <w:rFonts w:ascii="Times New Roman" w:hAnsi="Times New Roman" w:cs="Times New Roman"/>
          <w:sz w:val="24"/>
          <w:szCs w:val="24"/>
        </w:rPr>
      </w:pPr>
      <w:r w:rsidRPr="003B2576">
        <w:rPr>
          <w:rFonts w:ascii="Times New Roman" w:hAnsi="Times New Roman" w:cs="Times New Roman"/>
          <w:sz w:val="24"/>
          <w:szCs w:val="24"/>
        </w:rPr>
        <w:t>Bianchi, Paula Daniela. "Female subjectivity and enjoyment. The new representations of prostitutes in contemporary Latin American literature. Bodies, pleasures and alterations." </w:t>
      </w:r>
      <w:r w:rsidRPr="003B2576">
        <w:rPr>
          <w:rFonts w:ascii="Times New Roman" w:hAnsi="Times New Roman" w:cs="Times New Roman"/>
          <w:i/>
          <w:iCs/>
          <w:sz w:val="24"/>
          <w:szCs w:val="24"/>
        </w:rPr>
        <w:t>Hispanet Journal</w:t>
      </w:r>
      <w:r w:rsidRPr="003B2576">
        <w:rPr>
          <w:rFonts w:ascii="Times New Roman" w:hAnsi="Times New Roman" w:cs="Times New Roman"/>
          <w:sz w:val="24"/>
          <w:szCs w:val="24"/>
        </w:rPr>
        <w:t> 1 (2013).</w:t>
      </w:r>
    </w:p>
    <w:p w:rsidR="003B2576" w:rsidRPr="003B2576" w:rsidRDefault="003B2576" w:rsidP="003B2576">
      <w:pPr>
        <w:spacing w:after="0" w:line="240" w:lineRule="auto"/>
        <w:ind w:left="720" w:hanging="720"/>
        <w:contextualSpacing/>
        <w:rPr>
          <w:rFonts w:ascii="Times New Roman" w:hAnsi="Times New Roman" w:cs="Times New Roman"/>
          <w:sz w:val="24"/>
          <w:szCs w:val="24"/>
        </w:rPr>
      </w:pPr>
      <w:r w:rsidRPr="003B2576">
        <w:rPr>
          <w:rFonts w:ascii="Times New Roman" w:hAnsi="Times New Roman" w:cs="Times New Roman"/>
          <w:sz w:val="24"/>
          <w:szCs w:val="24"/>
        </w:rPr>
        <w:t>Carlos, Alberto J. "Nacha Regules and Santa: Problems of intertextuality." In </w:t>
      </w:r>
      <w:r w:rsidRPr="003B2576">
        <w:rPr>
          <w:rFonts w:ascii="Times New Roman" w:hAnsi="Times New Roman" w:cs="Times New Roman"/>
          <w:i/>
          <w:iCs/>
          <w:sz w:val="24"/>
          <w:szCs w:val="24"/>
        </w:rPr>
        <w:t>Symposium: A Quarterly Journal in Modern Literatures</w:t>
      </w:r>
      <w:r w:rsidRPr="003B2576">
        <w:rPr>
          <w:rFonts w:ascii="Times New Roman" w:hAnsi="Times New Roman" w:cs="Times New Roman"/>
          <w:sz w:val="24"/>
          <w:szCs w:val="24"/>
        </w:rPr>
        <w:t>, vol. 36, no. 4, pp. 301-307. Taylor &amp; Francis, 1982.</w:t>
      </w:r>
    </w:p>
    <w:p w:rsidR="003B2576" w:rsidRPr="003B2576" w:rsidRDefault="003B2576" w:rsidP="003B2576">
      <w:pPr>
        <w:spacing w:after="0" w:line="240" w:lineRule="auto"/>
        <w:ind w:left="720" w:hanging="720"/>
        <w:contextualSpacing/>
        <w:rPr>
          <w:rFonts w:ascii="Times New Roman" w:hAnsi="Times New Roman" w:cs="Times New Roman"/>
          <w:sz w:val="24"/>
          <w:szCs w:val="24"/>
        </w:rPr>
      </w:pPr>
      <w:r w:rsidRPr="003B2576">
        <w:rPr>
          <w:rFonts w:ascii="Times New Roman" w:hAnsi="Times New Roman" w:cs="Times New Roman"/>
          <w:sz w:val="24"/>
          <w:szCs w:val="24"/>
        </w:rPr>
        <w:t>Ibieta, Gabriela. "The character of the prostitute according to Manuel Gálvez: Approaches to Dostoevsky." </w:t>
      </w:r>
      <w:r w:rsidRPr="003B2576">
        <w:rPr>
          <w:rFonts w:ascii="Times New Roman" w:hAnsi="Times New Roman" w:cs="Times New Roman"/>
          <w:i/>
          <w:iCs/>
          <w:sz w:val="24"/>
          <w:szCs w:val="24"/>
        </w:rPr>
        <w:t>Journal of Hispanic Studies</w:t>
      </w:r>
      <w:r w:rsidRPr="003B2576">
        <w:rPr>
          <w:rFonts w:ascii="Times New Roman" w:hAnsi="Times New Roman" w:cs="Times New Roman"/>
          <w:sz w:val="24"/>
          <w:szCs w:val="24"/>
        </w:rPr>
        <w:t> 21, no. 3 (1987): 11.</w:t>
      </w:r>
    </w:p>
    <w:p w:rsidR="002E4DC2" w:rsidRDefault="002E4DC2" w:rsidP="00A313CE">
      <w:pPr>
        <w:spacing w:after="0" w:line="480" w:lineRule="auto"/>
        <w:ind w:firstLine="720"/>
        <w:contextualSpacing/>
        <w:rPr>
          <w:rFonts w:ascii="Times New Roman" w:hAnsi="Times New Roman" w:cs="Times New Roman"/>
          <w:sz w:val="24"/>
          <w:szCs w:val="24"/>
        </w:rPr>
      </w:pPr>
    </w:p>
    <w:p w:rsidR="002E4DC2" w:rsidRDefault="002E4DC2">
      <w:pPr>
        <w:rPr>
          <w:rFonts w:ascii="Times New Roman" w:hAnsi="Times New Roman" w:cs="Times New Roman"/>
          <w:sz w:val="24"/>
          <w:szCs w:val="24"/>
        </w:rPr>
      </w:pPr>
      <w:r>
        <w:rPr>
          <w:rFonts w:ascii="Times New Roman" w:hAnsi="Times New Roman" w:cs="Times New Roman"/>
          <w:sz w:val="24"/>
          <w:szCs w:val="24"/>
        </w:rPr>
        <w:br w:type="page"/>
      </w:r>
    </w:p>
    <w:p w:rsidR="000C1231" w:rsidRPr="00ED0C06" w:rsidRDefault="00ED0C06" w:rsidP="00ED0C06">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Notes</w:t>
      </w:r>
    </w:p>
    <w:sectPr w:rsidR="000C1231" w:rsidRPr="00ED0C06" w:rsidSect="008257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23691" w:rsidRDefault="00F23691" w:rsidP="00C658F0">
      <w:pPr>
        <w:spacing w:after="0" w:line="240" w:lineRule="auto"/>
      </w:pPr>
      <w:r>
        <w:separator/>
      </w:r>
    </w:p>
  </w:endnote>
  <w:endnote w:type="continuationSeparator" w:id="0">
    <w:p w:rsidR="00F23691" w:rsidRDefault="00F23691" w:rsidP="00C658F0">
      <w:pPr>
        <w:spacing w:after="0" w:line="240" w:lineRule="auto"/>
      </w:pPr>
      <w:r>
        <w:continuationSeparator/>
      </w:r>
    </w:p>
  </w:endnote>
  <w:endnote w:id="1">
    <w:p w:rsidR="003B2576" w:rsidRPr="003B2576" w:rsidRDefault="003B2576" w:rsidP="003B2576">
      <w:pPr>
        <w:pStyle w:val="EndnoteText"/>
        <w:ind w:firstLine="720"/>
        <w:rPr>
          <w:rFonts w:ascii="Times New Roman" w:hAnsi="Times New Roman" w:cs="Times New Roman"/>
          <w:sz w:val="24"/>
          <w:szCs w:val="24"/>
        </w:rPr>
      </w:pPr>
      <w:r w:rsidRPr="003B2576">
        <w:rPr>
          <w:rStyle w:val="EndnoteReference"/>
          <w:rFonts w:ascii="Times New Roman" w:hAnsi="Times New Roman" w:cs="Times New Roman"/>
          <w:sz w:val="24"/>
          <w:szCs w:val="24"/>
          <w:vertAlign w:val="baseline"/>
        </w:rPr>
        <w:endnoteRef/>
      </w:r>
      <w:r w:rsidRPr="003B2576">
        <w:rPr>
          <w:rFonts w:ascii="Times New Roman" w:hAnsi="Times New Roman" w:cs="Times New Roman"/>
          <w:sz w:val="24"/>
          <w:szCs w:val="24"/>
        </w:rPr>
        <w:t>.Ibieta, Gabriela. "The character of the prostitute according to Manuel Gálvez: Approaches to Dostoevsky." </w:t>
      </w:r>
      <w:r w:rsidRPr="003B2576">
        <w:rPr>
          <w:rFonts w:ascii="Times New Roman" w:hAnsi="Times New Roman" w:cs="Times New Roman"/>
          <w:i/>
          <w:iCs/>
          <w:sz w:val="24"/>
          <w:szCs w:val="24"/>
        </w:rPr>
        <w:t>Journal of Hispanic Studies</w:t>
      </w:r>
      <w:r w:rsidRPr="003B2576">
        <w:rPr>
          <w:rFonts w:ascii="Times New Roman" w:hAnsi="Times New Roman" w:cs="Times New Roman"/>
          <w:sz w:val="24"/>
          <w:szCs w:val="24"/>
        </w:rPr>
        <w:t> 21, no. 3 (1987): 11.</w:t>
      </w:r>
    </w:p>
    <w:p w:rsidR="003B2576" w:rsidRPr="003B2576" w:rsidRDefault="003B2576" w:rsidP="003B2576">
      <w:pPr>
        <w:pStyle w:val="EndnoteText"/>
        <w:ind w:firstLine="720"/>
        <w:rPr>
          <w:rFonts w:ascii="Times New Roman" w:hAnsi="Times New Roman" w:cs="Times New Roman"/>
          <w:sz w:val="24"/>
          <w:szCs w:val="24"/>
        </w:rPr>
      </w:pPr>
    </w:p>
  </w:endnote>
  <w:endnote w:id="2">
    <w:p w:rsidR="00ED0C06" w:rsidRPr="00ED0C06" w:rsidRDefault="00ED0C06" w:rsidP="00ED0C06">
      <w:pPr>
        <w:pStyle w:val="EndnoteText"/>
        <w:ind w:firstLine="720"/>
        <w:rPr>
          <w:rFonts w:ascii="Times New Roman" w:hAnsi="Times New Roman" w:cs="Times New Roman"/>
          <w:b/>
          <w:sz w:val="24"/>
          <w:szCs w:val="24"/>
        </w:rPr>
      </w:pPr>
      <w:r w:rsidRPr="00ED0C06">
        <w:rPr>
          <w:rStyle w:val="EndnoteReference"/>
          <w:vertAlign w:val="baseline"/>
        </w:rPr>
        <w:endnoteRef/>
      </w:r>
      <w:r>
        <w:rPr>
          <w:b/>
        </w:rPr>
        <w:t xml:space="preserve">. </w:t>
      </w:r>
      <w:r w:rsidRPr="00ED0C06">
        <w:rPr>
          <w:rFonts w:ascii="Times New Roman" w:hAnsi="Times New Roman" w:cs="Times New Roman"/>
          <w:sz w:val="24"/>
          <w:szCs w:val="24"/>
        </w:rPr>
        <w:t>Bianchi, Paula Daniela. "Female subjectivity and enjoyment. The new representations of prostitutes in contemporary Latin American literature. Bodies, pleasures and alterations." </w:t>
      </w:r>
      <w:r w:rsidRPr="00ED0C06">
        <w:rPr>
          <w:rFonts w:ascii="Times New Roman" w:hAnsi="Times New Roman" w:cs="Times New Roman"/>
          <w:i/>
          <w:iCs/>
          <w:sz w:val="24"/>
          <w:szCs w:val="24"/>
        </w:rPr>
        <w:t>Hispanet Journal</w:t>
      </w:r>
      <w:r w:rsidRPr="00ED0C06">
        <w:rPr>
          <w:rFonts w:ascii="Times New Roman" w:hAnsi="Times New Roman" w:cs="Times New Roman"/>
          <w:sz w:val="24"/>
          <w:szCs w:val="24"/>
        </w:rPr>
        <w:t> 1 (2013).</w:t>
      </w:r>
    </w:p>
    <w:p w:rsidR="00ED0C06" w:rsidRPr="00ED0C06" w:rsidRDefault="003B2576" w:rsidP="003B2576">
      <w:pPr>
        <w:pStyle w:val="EndnoteText"/>
        <w:tabs>
          <w:tab w:val="left" w:pos="4290"/>
        </w:tabs>
        <w:ind w:firstLine="720"/>
        <w:rPr>
          <w:rFonts w:ascii="Times New Roman" w:hAnsi="Times New Roman" w:cs="Times New Roman"/>
          <w:sz w:val="24"/>
          <w:szCs w:val="24"/>
        </w:rPr>
      </w:pPr>
      <w:r>
        <w:rPr>
          <w:rFonts w:ascii="Times New Roman" w:hAnsi="Times New Roman" w:cs="Times New Roman"/>
          <w:sz w:val="24"/>
          <w:szCs w:val="24"/>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23691" w:rsidRDefault="00F23691" w:rsidP="00C658F0">
      <w:pPr>
        <w:spacing w:after="0" w:line="240" w:lineRule="auto"/>
      </w:pPr>
      <w:r>
        <w:separator/>
      </w:r>
    </w:p>
  </w:footnote>
  <w:footnote w:type="continuationSeparator" w:id="0">
    <w:p w:rsidR="00F23691" w:rsidRDefault="00F23691" w:rsidP="00C658F0">
      <w:pPr>
        <w:spacing w:after="0" w:line="240" w:lineRule="auto"/>
      </w:pPr>
      <w:r>
        <w:continuationSeparator/>
      </w:r>
    </w:p>
  </w:footnote>
  <w:footnote w:id="1">
    <w:p w:rsidR="008257EE" w:rsidRPr="009413A6" w:rsidRDefault="008257EE" w:rsidP="008257EE">
      <w:pPr>
        <w:pStyle w:val="FootnoteText"/>
        <w:ind w:firstLine="720"/>
        <w:contextualSpacing/>
        <w:rPr>
          <w:rFonts w:ascii="Times New Roman" w:hAnsi="Times New Roman" w:cs="Times New Roman"/>
          <w:sz w:val="24"/>
          <w:szCs w:val="24"/>
        </w:rPr>
      </w:pPr>
      <w:r w:rsidRPr="009413A6">
        <w:rPr>
          <w:rStyle w:val="FootnoteReference"/>
          <w:rFonts w:ascii="Times New Roman" w:hAnsi="Times New Roman" w:cs="Times New Roman"/>
          <w:sz w:val="24"/>
          <w:szCs w:val="24"/>
          <w:vertAlign w:val="baseline"/>
        </w:rPr>
        <w:footnoteRef/>
      </w:r>
      <w:r w:rsidR="009413A6" w:rsidRPr="009413A6">
        <w:rPr>
          <w:rFonts w:ascii="Times New Roman" w:hAnsi="Times New Roman" w:cs="Times New Roman"/>
          <w:sz w:val="24"/>
          <w:szCs w:val="24"/>
        </w:rPr>
        <w:t xml:space="preserve">. </w:t>
      </w:r>
      <w:r w:rsidRPr="009413A6">
        <w:rPr>
          <w:rFonts w:ascii="Times New Roman" w:hAnsi="Times New Roman" w:cs="Times New Roman"/>
          <w:sz w:val="24"/>
          <w:szCs w:val="24"/>
        </w:rPr>
        <w:t>Canovas, Rodrigo. "READING OF THE ARGENTINE NOVEL NACHA REGULES (1919): ILLUSIONS OF SOCIAL CHANGE1." </w:t>
      </w:r>
      <w:r w:rsidRPr="009413A6">
        <w:rPr>
          <w:rFonts w:ascii="Times New Roman" w:hAnsi="Times New Roman" w:cs="Times New Roman"/>
          <w:i/>
          <w:iCs/>
          <w:sz w:val="24"/>
          <w:szCs w:val="24"/>
        </w:rPr>
        <w:t>Taller de Letras</w:t>
      </w:r>
      <w:r w:rsidRPr="009413A6">
        <w:rPr>
          <w:rFonts w:ascii="Times New Roman" w:hAnsi="Times New Roman" w:cs="Times New Roman"/>
          <w:sz w:val="24"/>
          <w:szCs w:val="24"/>
        </w:rPr>
        <w:t> 29 (2001): 9.</w:t>
      </w:r>
    </w:p>
  </w:footnote>
  <w:footnote w:id="2">
    <w:p w:rsidR="009413A6" w:rsidRPr="009413A6" w:rsidRDefault="009413A6" w:rsidP="009413A6">
      <w:pPr>
        <w:pStyle w:val="FootnoteText"/>
        <w:ind w:firstLine="720"/>
        <w:rPr>
          <w:rFonts w:ascii="Times New Roman" w:hAnsi="Times New Roman" w:cs="Times New Roman"/>
          <w:sz w:val="24"/>
          <w:szCs w:val="24"/>
        </w:rPr>
      </w:pPr>
      <w:r w:rsidRPr="009413A6">
        <w:rPr>
          <w:rStyle w:val="FootnoteReference"/>
          <w:rFonts w:ascii="Times New Roman" w:hAnsi="Times New Roman" w:cs="Times New Roman"/>
          <w:sz w:val="24"/>
          <w:szCs w:val="24"/>
          <w:vertAlign w:val="baseline"/>
        </w:rPr>
        <w:footnoteRef/>
      </w:r>
      <w:r w:rsidRPr="009413A6">
        <w:rPr>
          <w:rFonts w:ascii="Times New Roman" w:hAnsi="Times New Roman" w:cs="Times New Roman"/>
          <w:sz w:val="24"/>
          <w:szCs w:val="24"/>
        </w:rPr>
        <w:t xml:space="preserve"> Carlos, Alberto J. "Nacha Regules and Santa: Problems of intertextuality." In </w:t>
      </w:r>
      <w:r w:rsidRPr="009413A6">
        <w:rPr>
          <w:rFonts w:ascii="Times New Roman" w:hAnsi="Times New Roman" w:cs="Times New Roman"/>
          <w:i/>
          <w:iCs/>
          <w:sz w:val="24"/>
          <w:szCs w:val="24"/>
        </w:rPr>
        <w:t>Symposium: A Quarterly Journal in Modern Literatures</w:t>
      </w:r>
      <w:r w:rsidRPr="009413A6">
        <w:rPr>
          <w:rFonts w:ascii="Times New Roman" w:hAnsi="Times New Roman" w:cs="Times New Roman"/>
          <w:sz w:val="24"/>
          <w:szCs w:val="24"/>
        </w:rPr>
        <w:t>, vol. 36, no. 4, pp. 301-307. Taylor &amp; Francis,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2865736"/>
      <w:docPartObj>
        <w:docPartGallery w:val="Page Numbers (Top of Page)"/>
        <w:docPartUnique/>
      </w:docPartObj>
    </w:sdtPr>
    <w:sdtEndPr>
      <w:rPr>
        <w:noProof/>
      </w:rPr>
    </w:sdtEndPr>
    <w:sdtContent>
      <w:p w:rsidR="008257EE" w:rsidRDefault="008257EE">
        <w:pPr>
          <w:pStyle w:val="Header"/>
          <w:jc w:val="right"/>
        </w:pPr>
        <w:r w:rsidRPr="008257EE">
          <w:t>Last</w:t>
        </w:r>
        <w:r>
          <w:t xml:space="preserve"> Name </w:t>
        </w:r>
        <w:r>
          <w:fldChar w:fldCharType="begin"/>
        </w:r>
        <w:r>
          <w:instrText xml:space="preserve"> PAGE   \* MERGEFORMAT </w:instrText>
        </w:r>
        <w:r>
          <w:fldChar w:fldCharType="separate"/>
        </w:r>
        <w:r w:rsidR="008B6EA5">
          <w:rPr>
            <w:noProof/>
          </w:rPr>
          <w:t>2</w:t>
        </w:r>
        <w:r>
          <w:rPr>
            <w:noProof/>
          </w:rPr>
          <w:fldChar w:fldCharType="end"/>
        </w:r>
      </w:p>
    </w:sdtContent>
  </w:sdt>
  <w:p w:rsidR="00C658F0" w:rsidRDefault="00C658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257EE" w:rsidRDefault="008257EE">
    <w:pPr>
      <w:pStyle w:val="Header"/>
    </w:pPr>
    <w:r>
      <w:tab/>
    </w:r>
    <w:r>
      <w:tab/>
    </w:r>
  </w:p>
  <w:p w:rsidR="008257EE" w:rsidRDefault="008257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D78"/>
    <w:rsid w:val="000C1231"/>
    <w:rsid w:val="00180A9C"/>
    <w:rsid w:val="00280FFE"/>
    <w:rsid w:val="002E4DC2"/>
    <w:rsid w:val="002F2097"/>
    <w:rsid w:val="00366C6B"/>
    <w:rsid w:val="003B2576"/>
    <w:rsid w:val="004A1483"/>
    <w:rsid w:val="00594215"/>
    <w:rsid w:val="005B42CE"/>
    <w:rsid w:val="0060467E"/>
    <w:rsid w:val="00702B42"/>
    <w:rsid w:val="008069F8"/>
    <w:rsid w:val="008257EE"/>
    <w:rsid w:val="008B6EA5"/>
    <w:rsid w:val="008D1430"/>
    <w:rsid w:val="008E64A7"/>
    <w:rsid w:val="009413A6"/>
    <w:rsid w:val="00A313CE"/>
    <w:rsid w:val="00A93424"/>
    <w:rsid w:val="00B23E65"/>
    <w:rsid w:val="00C658F0"/>
    <w:rsid w:val="00C83F69"/>
    <w:rsid w:val="00D34686"/>
    <w:rsid w:val="00DF3D78"/>
    <w:rsid w:val="00ED0C06"/>
    <w:rsid w:val="00EF05E5"/>
    <w:rsid w:val="00F23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9946B-9096-4EA7-84BB-5861D15DE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5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8F0"/>
  </w:style>
  <w:style w:type="paragraph" w:styleId="Footer">
    <w:name w:val="footer"/>
    <w:basedOn w:val="Normal"/>
    <w:link w:val="FooterChar"/>
    <w:uiPriority w:val="99"/>
    <w:unhideWhenUsed/>
    <w:rsid w:val="00C65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8F0"/>
  </w:style>
  <w:style w:type="paragraph" w:styleId="FootnoteText">
    <w:name w:val="footnote text"/>
    <w:basedOn w:val="Normal"/>
    <w:link w:val="FootnoteTextChar"/>
    <w:uiPriority w:val="99"/>
    <w:semiHidden/>
    <w:unhideWhenUsed/>
    <w:rsid w:val="008257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257EE"/>
    <w:rPr>
      <w:sz w:val="20"/>
      <w:szCs w:val="20"/>
    </w:rPr>
  </w:style>
  <w:style w:type="character" w:styleId="FootnoteReference">
    <w:name w:val="footnote reference"/>
    <w:basedOn w:val="DefaultParagraphFont"/>
    <w:uiPriority w:val="99"/>
    <w:semiHidden/>
    <w:unhideWhenUsed/>
    <w:rsid w:val="008257EE"/>
    <w:rPr>
      <w:vertAlign w:val="superscript"/>
    </w:rPr>
  </w:style>
  <w:style w:type="paragraph" w:styleId="EndnoteText">
    <w:name w:val="endnote text"/>
    <w:basedOn w:val="Normal"/>
    <w:link w:val="EndnoteTextChar"/>
    <w:uiPriority w:val="99"/>
    <w:unhideWhenUsed/>
    <w:rsid w:val="00ED0C06"/>
    <w:pPr>
      <w:spacing w:after="0" w:line="240" w:lineRule="auto"/>
    </w:pPr>
    <w:rPr>
      <w:sz w:val="20"/>
      <w:szCs w:val="20"/>
    </w:rPr>
  </w:style>
  <w:style w:type="character" w:customStyle="1" w:styleId="EndnoteTextChar">
    <w:name w:val="Endnote Text Char"/>
    <w:basedOn w:val="DefaultParagraphFont"/>
    <w:link w:val="EndnoteText"/>
    <w:uiPriority w:val="99"/>
    <w:rsid w:val="00ED0C06"/>
    <w:rPr>
      <w:sz w:val="20"/>
      <w:szCs w:val="20"/>
    </w:rPr>
  </w:style>
  <w:style w:type="character" w:styleId="EndnoteReference">
    <w:name w:val="endnote reference"/>
    <w:basedOn w:val="DefaultParagraphFont"/>
    <w:uiPriority w:val="99"/>
    <w:semiHidden/>
    <w:unhideWhenUsed/>
    <w:rsid w:val="00ED0C0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299779">
      <w:bodyDiv w:val="1"/>
      <w:marLeft w:val="0"/>
      <w:marRight w:val="0"/>
      <w:marTop w:val="0"/>
      <w:marBottom w:val="0"/>
      <w:divBdr>
        <w:top w:val="none" w:sz="0" w:space="0" w:color="auto"/>
        <w:left w:val="none" w:sz="0" w:space="0" w:color="auto"/>
        <w:bottom w:val="none" w:sz="0" w:space="0" w:color="auto"/>
        <w:right w:val="none" w:sz="0" w:space="0" w:color="auto"/>
      </w:divBdr>
      <w:divsChild>
        <w:div w:id="921572424">
          <w:marLeft w:val="0"/>
          <w:marRight w:val="0"/>
          <w:marTop w:val="0"/>
          <w:marBottom w:val="0"/>
          <w:divBdr>
            <w:top w:val="none" w:sz="0" w:space="0" w:color="auto"/>
            <w:left w:val="none" w:sz="0" w:space="0" w:color="auto"/>
            <w:bottom w:val="none" w:sz="0" w:space="0" w:color="auto"/>
            <w:right w:val="none" w:sz="0" w:space="0" w:color="auto"/>
          </w:divBdr>
        </w:div>
        <w:div w:id="472676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42334-1B00-4D0E-9726-4FB1ED659B5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1833</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nyoike31@gmail.com</cp:lastModifiedBy>
  <cp:revision>2</cp:revision>
  <dcterms:created xsi:type="dcterms:W3CDTF">2020-12-09T09:42:00Z</dcterms:created>
  <dcterms:modified xsi:type="dcterms:W3CDTF">2020-12-09T09:42:00Z</dcterms:modified>
</cp:coreProperties>
</file>